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</w:t>
      </w:r>
    </w:p>
    <w:p>
      <w:pPr>
        <w:spacing w:line="590" w:lineRule="exact"/>
        <w:jc w:val="both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广州市建设用地土壤污染风险管控和修复相关报告评审情况统计（2022.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0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7—2023.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06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）</w:t>
      </w:r>
    </w:p>
    <w:bookmarkEnd w:id="0"/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tbl>
      <w:tblPr>
        <w:tblStyle w:val="4"/>
        <w:tblW w:w="512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670"/>
        <w:gridCol w:w="1033"/>
        <w:gridCol w:w="863"/>
        <w:gridCol w:w="436"/>
        <w:gridCol w:w="765"/>
        <w:gridCol w:w="520"/>
        <w:gridCol w:w="765"/>
        <w:gridCol w:w="426"/>
        <w:gridCol w:w="706"/>
        <w:gridCol w:w="426"/>
        <w:gridCol w:w="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971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607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提交报告总数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*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（含联合编制）</w:t>
            </w:r>
          </w:p>
        </w:tc>
        <w:tc>
          <w:tcPr>
            <w:tcW w:w="510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总体一次评审通过率</w:t>
            </w: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调查报告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（无污染地块）</w:t>
            </w:r>
          </w:p>
        </w:tc>
        <w:tc>
          <w:tcPr>
            <w:tcW w:w="768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调查报告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（污染地块）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风险评估报告</w:t>
            </w:r>
          </w:p>
        </w:tc>
        <w:tc>
          <w:tcPr>
            <w:tcW w:w="601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效果评估报告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tblHeader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71" w:type="pct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黑体" w:cs="Times New Roman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0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10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一次性通过率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一次性通过率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一次性通过率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一次性通过率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广州中德环境技术研究院有限公司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68.8%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广东佳源生态环境服务有限公司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92.9%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92.9%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广州市番禺环境科学研究所有限公司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广州市怡地环保有限公司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粤风环保（广东）股份有限公司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71.4%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广州市环境保护科学研究院有限公司(广州市环境保护科学研究院)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广东思创环境工程有限公司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生态环境部华南环境科学研究所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广州穗土环保工程有限公司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66.7%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广东中加检测技术股份有限公司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中科检测技术服务（广州）股份有限公司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广州市白云工程咨询管理有限公司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广东核力工程勘察院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广东贝源检测技术股份有限公司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广州华浩能源环保集团股份有限公司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广州市第一市政工程有限公司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广州珠江实业环境保护有限公司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3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南京大学环境规划设计研究院集团股份公司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33.3%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广州润方环保科技股份有限公司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66.7%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广州南大环保科技有限公司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33.3%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33.3%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广东中科碧城环境技术有限公司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广东粤丘检测科技有限公司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江苏港峰环境科技有限公司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广州市精翱检测技术有限公司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广州市番禺环境工程有限公司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广州环净环保工程有限公司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广州华清环境监测有限公司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广东禹航环境科技有限公司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广东环院环境工程有限公司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广东环科技术咨询有限公司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广州汇标检测技术中心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33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珠江水利委员会珠江水利科学研究院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中环(广东)环境技术有限公司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同创伟业（广东）检测技术股份有限公司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科学城（广州）环保科技有限公司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37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38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国科（佛山）检测认证有限公司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39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广州中鹏环保实业有限公司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40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广州长德环境研究院有限公司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41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广州天海检测技术有限公司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42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广州市城市规划勘测设计研究院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43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广州凯得建筑工程有限公司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44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广州竞轩环保科技有限公司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45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广州经济技术开发区怡地工程有限公司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46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广州华鑫检测技术有限公司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47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广州华科环保工程有限公司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48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广州工控环保科技有限公司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49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广州德隆环境检测技术有限公司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50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广州草木蕃环境科技有限公司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51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广东中诺检测有限公司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52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广东中惠环保科技有限公司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53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广东粤峰环境检测技术有限公司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54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广东信一检测技术股份有限公司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55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广东省科学院生态环境与土壤研究所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56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广东森海环保顾问股份有限公司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广东南粤勘察设计有限公司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广东绿致环境科技有限公司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广东建研环境监测股份有限公司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广东恒睿环境检测股份有限公司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1"/>
          <w:szCs w:val="21"/>
          <w:u w:val="none"/>
          <w:lang w:val="en-US" w:eastAsia="zh-CN"/>
        </w:rPr>
        <w:t>*提交报告总数（含联合编制）：1.报告存在联合编制的情况时，各编制单位均计一次报告数；</w:t>
      </w:r>
    </w:p>
    <w:p>
      <w:r>
        <w:rPr>
          <w:rFonts w:hint="default" w:ascii="Times New Roman" w:hAnsi="Times New Roman" w:eastAsia="楷体_GB2312" w:cs="Times New Roman"/>
          <w:color w:val="auto"/>
          <w:kern w:val="0"/>
          <w:sz w:val="21"/>
          <w:szCs w:val="21"/>
          <w:u w:val="none"/>
          <w:lang w:val="en-US" w:eastAsia="zh-CN"/>
        </w:rPr>
        <w:t>2.统计期间非第一次提交评审的报告，不纳入本次统计。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7B6D4281"/>
    <w:rsid w:val="7B6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kern w:val="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eastAsia="宋体" w:cs="Times New Roman"/>
      <w:color w:val="000000"/>
      <w:kern w:val="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2023-08-08T08:10:00Z</dcterms:created>
  <dc:creator>陈璐</dc:creator>
  <cp:lastModifiedBy>陈璐</cp:lastModifiedBy>
  <dcterms:modified xsi:type="dcterms:W3CDTF">2023-08-08T08:17:38Z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81A8C1C2E0A04FCA9C553CF8A63DA9AD_11</vt:lpwstr>
  </property>
</Properties>
</file>